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926A52">
        <w:trPr>
          <w:trHeight w:val="99"/>
        </w:trPr>
        <w:tc>
          <w:tcPr>
            <w:tcW w:w="638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</w:tr>
      <w:tr w:rsidR="00926A52">
        <w:tc>
          <w:tcPr>
            <w:tcW w:w="638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926A52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926A52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79B25C" wp14:editId="1A79B25D">
                              <wp:extent cx="2068344" cy="406073"/>
                              <wp:effectExtent l="0" t="0" r="0" b="0"/>
                              <wp:docPr id="1435203148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</w:tr>
                  <w:tr w:rsidR="008D3C8E" w:rsidTr="008D3C8E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</w:tr>
                  <w:tr w:rsidR="00926A52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8D3C8E" w:rsidTr="008D3C8E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926A52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</w:tr>
                  <w:tr w:rsidR="008D3C8E" w:rsidTr="008D3C8E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140 Kaunas–Zapyškis–Šakiai 10,896 km sankryžos rekonstravimas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140 Kaunas–Zapyškis–Šakiai 10,896 km sankryžos 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</w:t>
                        </w:r>
                        <w:r>
                          <w:rPr>
                            <w:color w:val="000000"/>
                            <w:sz w:val="24"/>
                          </w:rPr>
                          <w:t>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8D3C8E" w:rsidTr="008D3C8E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8D3C8E" w:rsidTr="008D3C8E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D3C8E" w:rsidRDefault="008D3C8E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 </w:t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 xml:space="preserve">rekonstruoti sankryžas esančias ruože </w:t>
                        </w:r>
                        <w:r w:rsidR="00000000" w:rsidRPr="003F6AF9">
                          <w:rPr>
                            <w:b/>
                            <w:bCs/>
                            <w:color w:val="000000"/>
                            <w:sz w:val="24"/>
                          </w:rPr>
                          <w:t>nuo 10,50 iki 11,20 km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, bei jų prieigas (galutinės darbų ribos tikslinamos projektavimo metu). Numatyti sklandų sujungimą (privedimą) su esama, planuojama, projektuojama infrastruktūra 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III kategorija;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projekto apimtyje atlikti sankryžos ir jos prieigų kapitalinį remontą, įvertinti esamą ir būsimą užstatymą bei eismo intensyvumą, numatyti aktualias pėsčiųjų infras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truktūros jungtis, pėsčiųjų eismo per kelią organizavimo priemones (vieta ir tipas parenkama projektavimo metu), vandens nuvedimą, apšvietimą;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</w:p>
                      <w:p w:rsidR="008D3C8E" w:rsidRDefault="003F6AF9">
                        <w:pPr>
                          <w:spacing w:after="0" w:line="240" w:lineRule="auto"/>
                          <w:ind w:left="720" w:hanging="360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   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 xml:space="preserve">- dešinėje ruožo pusėje suprojektuoti pėsčiųjų ir/ar dviračių takus; </w:t>
                        </w:r>
                        <w:r w:rsidR="008D3C8E"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</w:p>
                      <w:p w:rsidR="00926A52" w:rsidRDefault="003F6AF9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   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- numatyti privedimus prie autobusų sustojimo aikštelių ir perėjų, sklandžiai suvesti su gretimų ruožų sprendiniais;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11.6. važiuojamosios dalies skersinis profilis: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pagal normatyvinių dokumentų reikalavimus;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11.7. dangos konstrukcijos klasė: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>11.8. nuov</w:t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ažų skaičius: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11.9. numatomi / rekonstruojami inžineriniai tinklai: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11.10. vandens pralaidos: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11.11. vandens nuleidimas nuo kelio: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vieta: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ustatoma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tipas: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11.14. pėsčiųjų perėjimo per kelią organizavimo priemonės kryptinis apšvietimas: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numatyti;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skaičius: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11.16. autobusų sustojimo aikštelių paviljonų skaičius: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visos stotelės turi turėti paviljonus;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11.17. inžinerinės eismo saugos priemonės: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poreikį nustatyti projektavimo metu, vadovaujantis Inžinerinių eismo saug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umo priemonių įgyvendinimo rekomendacijomis;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11.18. apšvietimas: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numatyti. Apšvietimo apskaita turi būti atskira nuo savivaldybės tinklų;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11.19. triukšmo mažinimo priemonės: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11.20. atlikti planuojamos ūkinės veiklos poveikio aplinkai vertinimą: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vadovautis normatyvinių dokumentų ir techninės specifikacijos reikalavimais.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8D3C8E" w:rsidTr="003F6AF9">
                    <w:trPr>
                      <w:trHeight w:val="88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00000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12. Projektuojant vadovautis šiais dokumentais:</w:t>
                        </w:r>
                      </w:p>
                    </w:tc>
                  </w:tr>
                  <w:tr w:rsidR="008D3C8E" w:rsidTr="008D3C8E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3F6AF9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 </w:t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Taip.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8D3C8E" w:rsidTr="008D3C8E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F6AF9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3F6AF9">
                          <w:rPr>
                            <w:color w:val="000000"/>
                            <w:sz w:val="24"/>
                          </w:rPr>
                          <w:t xml:space="preserve">     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– parinkti ne mažiau kaip 2 sankryžos pertvarkymo alternatyvas, pagal Inžinerinių eismo saugumo priemonių įgyvendinimo rekomendacijos. Vadovautis </w:t>
                        </w:r>
                        <w:r w:rsidR="005B2C81">
                          <w:rPr>
                            <w:color w:val="000000"/>
                            <w:sz w:val="24"/>
                          </w:rPr>
                          <w:t xml:space="preserve">šių rekomendacijų </w:t>
                        </w:r>
                        <w:r>
                          <w:rPr>
                            <w:color w:val="000000"/>
                            <w:sz w:val="24"/>
                          </w:rPr>
                          <w:t>punkt</w:t>
                        </w:r>
                        <w:r w:rsidR="005B2C81">
                          <w:rPr>
                            <w:color w:val="000000"/>
                            <w:sz w:val="24"/>
                          </w:rPr>
                          <w:t>ų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Nr. 285 (greitis iki 70 km/h) ir Nr. 287 (greitis iki 50,km/h) nurodymais. Kelių saugumo audito metu nuspręsime, kuria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sankryžos alternatyva pasirinksime tolesniam projektavimui; </w:t>
                        </w:r>
                      </w:p>
                      <w:p w:rsidR="003F6AF9" w:rsidRDefault="003F6AF9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 xml:space="preserve">– projektuojant atsižvelgti į aplinkinių teritorijų plėtros planus; </w:t>
                        </w:r>
                      </w:p>
                      <w:p w:rsidR="005B2C81" w:rsidRDefault="003F6AF9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– atlikti kitas paslaugas, kaip tai numato Techninė specifikacija ir Sutarties sąlygos.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</w:r>
                        <w:r w:rsidR="00000000"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1. Prašymo forma „Dėl ekspertizės atlikimo“;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3. Prašymo forma „Dėl projekto perdavimo po rangos darbų pirkimo“;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4. Bendrųjų statinio rodiklių forma;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5. Statinio fizinių rodiklių sąrašas;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6. Naujų projektų laidų parengimo gairės;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7. Reikalavimai žiniaraščiams; </w:t>
                        </w:r>
                      </w:p>
                      <w:p w:rsidR="005B2C81" w:rsidRDefault="00000000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B2C81"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-kelio sklypo unikalus numeris: 4400-2813-0127; </w:t>
                        </w:r>
                      </w:p>
                      <w:p w:rsidR="005B2C81" w:rsidRDefault="005B2C81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 w:rsidR="00000000">
                          <w:rPr>
                            <w:color w:val="000000"/>
                            <w:sz w:val="24"/>
                          </w:rPr>
                          <w:t>-kelio statinio unikalus numeris: 4400-2477-3086.</w:t>
                        </w:r>
                      </w:p>
                      <w:p w:rsidR="005B2C81" w:rsidRDefault="005B2C81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</w:p>
                      <w:p w:rsidR="005B2C81" w:rsidRDefault="005B2C81" w:rsidP="003F6AF9">
                        <w:pPr>
                          <w:spacing w:after="0" w:line="240" w:lineRule="auto"/>
                          <w:ind w:firstLine="19"/>
                          <w:rPr>
                            <w:color w:val="000000"/>
                            <w:sz w:val="24"/>
                          </w:rPr>
                        </w:pPr>
                      </w:p>
                      <w:p w:rsidR="00926A52" w:rsidRDefault="00000000" w:rsidP="005B2C81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26A52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  <w:jc w:val="center"/>
                        </w:pP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:rsidR="00926A52" w:rsidRDefault="00926A52">
                        <w:pPr>
                          <w:spacing w:after="0" w:line="240" w:lineRule="auto"/>
                          <w:jc w:val="center"/>
                        </w:pP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926A52" w:rsidRDefault="00926A52">
                        <w:pPr>
                          <w:spacing w:after="0" w:line="240" w:lineRule="auto"/>
                          <w:jc w:val="center"/>
                        </w:pP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:rsidR="00926A52" w:rsidRDefault="00926A52">
                        <w:pPr>
                          <w:spacing w:after="0" w:line="240" w:lineRule="auto"/>
                          <w:jc w:val="center"/>
                        </w:pPr>
                      </w:p>
                      <w:p w:rsidR="00926A52" w:rsidRDefault="00926A52">
                        <w:pPr>
                          <w:spacing w:after="0" w:line="240" w:lineRule="auto"/>
                          <w:jc w:val="center"/>
                        </w:pPr>
                      </w:p>
                      <w:p w:rsidR="00926A52" w:rsidRDefault="00000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:rsidR="00926A52" w:rsidRDefault="00926A52">
                  <w:pPr>
                    <w:spacing w:after="0" w:line="240" w:lineRule="auto"/>
                  </w:pPr>
                </w:p>
              </w:tc>
            </w:tr>
          </w:tbl>
          <w:p w:rsidR="00926A52" w:rsidRDefault="00926A52">
            <w:pPr>
              <w:spacing w:after="0" w:line="240" w:lineRule="auto"/>
            </w:pPr>
          </w:p>
        </w:tc>
        <w:tc>
          <w:tcPr>
            <w:tcW w:w="614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</w:tr>
      <w:tr w:rsidR="00926A52">
        <w:trPr>
          <w:trHeight w:val="952"/>
        </w:trPr>
        <w:tc>
          <w:tcPr>
            <w:tcW w:w="638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:rsidR="00926A52" w:rsidRDefault="00926A52">
            <w:pPr>
              <w:pStyle w:val="EmptyCellLayoutStyle"/>
              <w:spacing w:after="0" w:line="240" w:lineRule="auto"/>
            </w:pPr>
          </w:p>
        </w:tc>
      </w:tr>
    </w:tbl>
    <w:p w:rsidR="00926A52" w:rsidRDefault="00926A52" w:rsidP="005B2C81">
      <w:pPr>
        <w:spacing w:after="0" w:line="240" w:lineRule="auto"/>
      </w:pPr>
    </w:p>
    <w:sectPr w:rsidR="00926A52" w:rsidSect="005B2C81">
      <w:pgSz w:w="12584" w:h="16837"/>
      <w:pgMar w:top="709" w:right="566" w:bottom="567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574391354">
    <w:abstractNumId w:val="0"/>
  </w:num>
  <w:num w:numId="2" w16cid:durableId="800881152">
    <w:abstractNumId w:val="1"/>
  </w:num>
  <w:num w:numId="3" w16cid:durableId="215165895">
    <w:abstractNumId w:val="2"/>
  </w:num>
  <w:num w:numId="4" w16cid:durableId="72355648">
    <w:abstractNumId w:val="3"/>
  </w:num>
  <w:num w:numId="5" w16cid:durableId="147400858">
    <w:abstractNumId w:val="4"/>
  </w:num>
  <w:num w:numId="6" w16cid:durableId="1766808317">
    <w:abstractNumId w:val="5"/>
  </w:num>
  <w:num w:numId="7" w16cid:durableId="812212091">
    <w:abstractNumId w:val="6"/>
  </w:num>
  <w:num w:numId="8" w16cid:durableId="1422488929">
    <w:abstractNumId w:val="7"/>
  </w:num>
  <w:num w:numId="9" w16cid:durableId="1373068195">
    <w:abstractNumId w:val="8"/>
  </w:num>
  <w:num w:numId="10" w16cid:durableId="1721052128">
    <w:abstractNumId w:val="9"/>
  </w:num>
  <w:num w:numId="11" w16cid:durableId="1165437071">
    <w:abstractNumId w:val="10"/>
  </w:num>
  <w:num w:numId="12" w16cid:durableId="1671830375">
    <w:abstractNumId w:val="11"/>
  </w:num>
  <w:num w:numId="13" w16cid:durableId="1286698441">
    <w:abstractNumId w:val="12"/>
  </w:num>
  <w:num w:numId="14" w16cid:durableId="144123816">
    <w:abstractNumId w:val="13"/>
  </w:num>
  <w:num w:numId="15" w16cid:durableId="1516185751">
    <w:abstractNumId w:val="14"/>
  </w:num>
  <w:num w:numId="16" w16cid:durableId="384573868">
    <w:abstractNumId w:val="15"/>
  </w:num>
  <w:num w:numId="17" w16cid:durableId="60494261">
    <w:abstractNumId w:val="16"/>
  </w:num>
  <w:num w:numId="18" w16cid:durableId="215245139">
    <w:abstractNumId w:val="17"/>
  </w:num>
  <w:num w:numId="19" w16cid:durableId="825130715">
    <w:abstractNumId w:val="18"/>
  </w:num>
  <w:num w:numId="20" w16cid:durableId="214507898">
    <w:abstractNumId w:val="19"/>
  </w:num>
  <w:num w:numId="21" w16cid:durableId="740907924">
    <w:abstractNumId w:val="20"/>
  </w:num>
  <w:num w:numId="22" w16cid:durableId="48890029">
    <w:abstractNumId w:val="21"/>
  </w:num>
  <w:num w:numId="23" w16cid:durableId="2140872370">
    <w:abstractNumId w:val="22"/>
  </w:num>
  <w:num w:numId="24" w16cid:durableId="11701469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PBG8FaNd3nP9zbUsjt9DEPfiiIAqxx7Fimk0pAnP0HLbzpsNCvxfGWV0W8ITmBeoufOL/Y6es6+zV9ihBu+Y6g==" w:salt="eQqCaxJQYTgSMZkEAvau4w==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52"/>
    <w:rsid w:val="0014795D"/>
    <w:rsid w:val="00215236"/>
    <w:rsid w:val="003F6AF9"/>
    <w:rsid w:val="005B2C81"/>
    <w:rsid w:val="008D3C8E"/>
    <w:rsid w:val="00926A52"/>
    <w:rsid w:val="00A3381B"/>
    <w:rsid w:val="00AF5137"/>
    <w:rsid w:val="00E2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B210"/>
  <w15:docId w15:val="{494F8512-C38C-4C4E-AD57-994D22BC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3858</Words>
  <Characters>2200</Characters>
  <Application>Microsoft Office Word</Application>
  <DocSecurity>8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Ignas Kaveckas</dc:creator>
  <dc:description/>
  <cp:lastModifiedBy>Ignas Kaveckas</cp:lastModifiedBy>
  <cp:revision>1</cp:revision>
  <dcterms:created xsi:type="dcterms:W3CDTF">2025-10-23T07:24:00Z</dcterms:created>
  <dcterms:modified xsi:type="dcterms:W3CDTF">2025-10-23T07:24:00Z</dcterms:modified>
</cp:coreProperties>
</file>